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78" w:type="dxa"/>
        <w:jc w:val="left"/>
        <w:tblInd w:w="-194" w:type="dxa"/>
        <w:tblLayout w:type="fixed"/>
        <w:tblCellMar>
          <w:top w:w="0" w:type="dxa"/>
          <w:left w:w="48" w:type="dxa"/>
          <w:bottom w:w="0" w:type="dxa"/>
          <w:right w:w="108" w:type="dxa"/>
        </w:tblCellMar>
      </w:tblPr>
      <w:tblGrid>
        <w:gridCol w:w="7370"/>
        <w:gridCol w:w="2707"/>
      </w:tblGrid>
      <w:tr>
        <w:trPr>
          <w:trHeight w:val="841" w:hRule="atLeast"/>
        </w:trPr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Autorização AmbientalRequerimento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ISENÇÃO DE LICENCIAMENTO AMBIENTAL</w:t>
            </w:r>
          </w:p>
        </w:tc>
        <w:tc>
          <w:tcPr>
            <w:tcW w:w="2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6"/>
                <w:szCs w:val="16"/>
                <w:lang w:val="pt-BR" w:eastAsia="pt-BR" w:bidi="ar-SA"/>
              </w:rPr>
              <w:t>2025-2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Orientações gerais:Orientações gerais: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snapToGrid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1. IDENTIFICAÇÃO DO EMPREENDIMENTO</w:t>
      </w:r>
    </w:p>
    <w:tbl>
      <w:tblPr>
        <w:tblW w:w="9808" w:type="dxa"/>
        <w:jc w:val="center"/>
        <w:tblInd w:w="0" w:type="dxa"/>
        <w:tblLayout w:type="fixed"/>
        <w:tblCellMar>
          <w:top w:w="0" w:type="dxa"/>
          <w:left w:w="73" w:type="dxa"/>
          <w:bottom w:w="0" w:type="dxa"/>
          <w:right w:w="108" w:type="dxa"/>
        </w:tblCellMar>
      </w:tblPr>
      <w:tblGrid>
        <w:gridCol w:w="6554"/>
        <w:gridCol w:w="3253"/>
      </w:tblGrid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/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CNPJ/CPF: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eastAsia="Times New Roman" w:cs="Arial Narrow"/>
                <w:color w:val="00000A"/>
                <w:kern w:val="2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INFORMAÇÕES SOBRE O EMPREENDIMENTO E ATIVIDADE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2.1- Atividade a ser desenvolvida:</w:t>
      </w:r>
    </w:p>
    <w:tbl>
      <w:tblPr>
        <w:tblW w:w="9689" w:type="dxa"/>
        <w:jc w:val="left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9689"/>
      </w:tblGrid>
      <w:tr>
        <w:trPr/>
        <w:tc>
          <w:tcPr>
            <w:tcW w:w="9689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 xml:space="preserve">2.2- Informe a área útil da atividade: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 xml:space="preserve">(OBS: É obrigatório informar a área para atividades não incidentes de licenciamento e anexar Alvará de Bombeiros para atividades que se enquadrem na Lei Complementar Estadual 14376/2013)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/>
      </w:pPr>
      <w:r>
        <w:rPr>
          <w:rFonts w:eastAsia="Arial Narrow" w:cs="Arial Narrow" w:ascii="Arial Narrow" w:hAnsi="Arial Narrow"/>
          <w:b/>
          <w:sz w:val="22"/>
          <w:szCs w:val="22"/>
        </w:rPr>
        <w:t xml:space="preserve"> </w:t>
      </w:r>
      <w:r>
        <w:rPr>
          <w:rFonts w:cs="Arial Narrow" w:ascii="Arial Narrow" w:hAnsi="Arial Narrow"/>
          <w:b/>
          <w:sz w:val="22"/>
          <w:szCs w:val="22"/>
        </w:rPr>
        <w:t xml:space="preserve">Área:_____________. (m², m³, ha, un., cabeças)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/>
      </w:pPr>
      <w:r>
        <w:rPr/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2.3- Descrição da atividade</w:t>
      </w:r>
    </w:p>
    <w:p>
      <w:pPr>
        <w:pStyle w:val="Normal"/>
        <w:spacing w:before="60" w:after="60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Apresente uma breve descrição da atividade desenvolvida ou fluxograma ou diagrama de blocos das principais etapas produtivas.</w:t>
      </w:r>
    </w:p>
    <w:tbl>
      <w:tblPr>
        <w:tblW w:w="9882" w:type="dxa"/>
        <w:jc w:val="center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882"/>
      </w:tblGrid>
      <w:tr>
        <w:trPr>
          <w:trHeight w:val="1695" w:hRule="atLeast"/>
        </w:trPr>
        <w:tc>
          <w:tcPr>
            <w:tcW w:w="98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</w:tc>
      </w:tr>
    </w:tbl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 xml:space="preserve">no prazo de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u w:val="single"/>
          <w:lang w:val="pt-BR" w:eastAsia="pt-BR" w:bidi="ar-SA"/>
        </w:rPr>
        <w:t>15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 xml:space="preserve">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de sua solicitação pela SEMAPE, implicará no encerramento automático do processo.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  <w:t xml:space="preserve">Nestes termos, pede deferimento: 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/>
        <w:tc>
          <w:tcPr>
            <w:tcW w:w="9854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 …………………..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1"/>
          <w:szCs w:val="21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 w:val="false"/>
          <w:bCs w:val="false"/>
          <w:sz w:val="21"/>
          <w:szCs w:val="21"/>
        </w:rPr>
        <w:t xml:space="preserve"> documentos obrigatórios não sejam apresentados, o processo será INDEFERIDO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b/>
          <w:bCs/>
          <w:sz w:val="21"/>
          <w:szCs w:val="21"/>
        </w:rPr>
        <w:t xml:space="preserve">IMPORTANTE: a declaração de isenção ambiental que será emitida, apenas irá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declarar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que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a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atividade informada, no processo,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está dispensada de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licenciamento ambiental. Portanto, este documento não autoriza, dispensa ou substitui, quaisquer autorizações, licenças, alvarás ou certidões de qualquer natureza exigidos pela Legislação Federal, Estadual ou Municipal.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Documentação geral </w:t>
      </w:r>
      <w:r>
        <w:rPr>
          <w:rFonts w:cs="Arial Narrow" w:ascii="Arial Narrow" w:hAnsi="Arial Narrow"/>
          <w:b/>
          <w:bCs/>
          <w:sz w:val="22"/>
          <w:szCs w:val="22"/>
          <w:u w:val="single"/>
        </w:rPr>
        <w:t>obrigatória</w:t>
      </w:r>
      <w:r>
        <w:rPr>
          <w:rFonts w:cs="Arial Narrow" w:ascii="Arial Narrow" w:hAnsi="Arial Narrow"/>
          <w:b/>
          <w:bCs/>
          <w:sz w:val="22"/>
          <w:szCs w:val="22"/>
        </w:rPr>
        <w:t>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1. Requerimento de Isenção de Licenciamento Ambiental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  <w:t>2. Cópia do CNPJ.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bCs/>
          <w:sz w:val="22"/>
          <w:szCs w:val="22"/>
        </w:rPr>
        <w:t xml:space="preserve">3. </w:t>
      </w:r>
      <w:bookmarkStart w:id="0" w:name="_GoBack"/>
      <w:bookmarkEnd w:id="0"/>
      <w:r>
        <w:rPr>
          <w:rFonts w:cs="Arial Narrow" w:ascii="Arial Narrow" w:hAnsi="Arial Narrow"/>
          <w:sz w:val="22"/>
          <w:szCs w:val="22"/>
        </w:rPr>
        <w:t>Cópia do documento de identificação, contendo número do CPF, do(s) responsável(eis) legal(ais).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2"/>
          <w:szCs w:val="22"/>
        </w:rPr>
        <w:t xml:space="preserve">4. Caso conste no CNPJ atividades secundárias não desenvolvidas pelo empreendimento, deve ser apresentado </w:t>
      </w:r>
      <w:r>
        <w:rPr>
          <w:rFonts w:eastAsia="Times New Roman" w:cs="Arial Narrow" w:ascii="Arial Narrow" w:hAnsi="Arial Narrow"/>
          <w:color w:val="00000A"/>
          <w:kern w:val="2"/>
          <w:sz w:val="22"/>
          <w:szCs w:val="22"/>
          <w:lang w:val="pt-BR" w:eastAsia="pt-BR" w:bidi="ar-SA"/>
        </w:rPr>
        <w:t>documento declarando que não exerce atividade passível de licenciamento ambiental.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Caso de atividade passível de licença ambiental, mas com metragem não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2"/>
                <w:szCs w:val="22"/>
                <w:lang w:val="pt-BR" w:eastAsia="pt-BR" w:bidi="ar-SA"/>
              </w:rPr>
              <w:t>incidente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(inferior à metragem mínima licenciável), conforme Resolução Consema 372/2018 e Resolução Condema 19/2025.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/>
            </w:pPr>
            <w:r>
              <w:rPr>
                <w:rFonts w:eastAsia="Times New Roman" w:cs="Arial Narrow" w:ascii="Arial Narrow" w:hAnsi="Arial Narrow"/>
                <w:bCs/>
                <w:color w:val="00000A"/>
                <w:kern w:val="2"/>
                <w:sz w:val="22"/>
                <w:szCs w:val="22"/>
                <w:lang w:val="pt-BR" w:eastAsia="pt-BR" w:bidi="ar-SA"/>
              </w:rPr>
              <w:t xml:space="preserve">1. </w:t>
            </w:r>
            <w:r>
              <w:rPr>
                <w:rFonts w:cs="Arial Narrow" w:ascii="Arial Narrow" w:hAnsi="Arial Narrow"/>
                <w:bCs/>
                <w:sz w:val="22"/>
                <w:szCs w:val="22"/>
              </w:rPr>
              <w:t>Planta ou Croqui do estabelecimento contendo a área útil, devidamente assinada no caso de não incidente de licenciamento.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2. Alvará de Bombeiros ou cópia do protocolo, em caso de atividades que se enquadrem na Lei 14.376/2013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Em caso de prestação de serviços a outra empresa: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1. Cópia da Licença de Operação e declaração de prestação de serviços.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2. Cópia da viabilidade, para MEI cópia do protocolo de viabilidade.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3. Cópia do contrato social ou certificado do MEI.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4. Comprovante de endereço atualizado (cópia da conta de água ou energia elétrica)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LibreOffice/7.4.7.2$Linux_X86_64 LibreOffice_project/40$Build-2</Application>
  <AppVersion>15.0000</AppVersion>
  <Pages>3</Pages>
  <Words>750</Words>
  <Characters>4604</Characters>
  <CharactersWithSpaces>5283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2025-10-01T18:13:21Z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